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BF" w:rsidRPr="005613BF" w:rsidRDefault="005613BF" w:rsidP="005613BF">
      <w:pPr>
        <w:ind w:firstLine="851"/>
        <w:jc w:val="center"/>
        <w:rPr>
          <w:b/>
        </w:rPr>
      </w:pPr>
      <w:r w:rsidRPr="005613BF">
        <w:rPr>
          <w:b/>
        </w:rPr>
        <w:t>СХЕМА ТЕРРИТОРИАЛЬНОГО ПЛАНИРОВАНИЯ</w:t>
      </w:r>
    </w:p>
    <w:p w:rsidR="005613BF" w:rsidRPr="005613BF" w:rsidRDefault="005613BF" w:rsidP="005613BF">
      <w:pPr>
        <w:ind w:firstLine="851"/>
        <w:jc w:val="center"/>
        <w:rPr>
          <w:b/>
        </w:rPr>
      </w:pPr>
      <w:r w:rsidRPr="005613BF">
        <w:rPr>
          <w:b/>
        </w:rPr>
        <w:t>КАЛУЖСКОЙ ОБЛАСТИ</w:t>
      </w:r>
      <w:r w:rsidR="00A655C7">
        <w:rPr>
          <w:b/>
        </w:rPr>
        <w:t xml:space="preserve"> </w:t>
      </w:r>
      <w:r w:rsidR="00A655C7" w:rsidRPr="003513E3">
        <w:rPr>
          <w:b/>
        </w:rPr>
        <w:t>В ОБЛАСТИ ОБРАЩЕНИЯ С ОТХОДАМИ</w:t>
      </w:r>
    </w:p>
    <w:p w:rsidR="005613BF" w:rsidRPr="005613BF" w:rsidRDefault="005613BF" w:rsidP="005613BF">
      <w:pPr>
        <w:ind w:firstLine="851"/>
        <w:jc w:val="center"/>
        <w:rPr>
          <w:b/>
        </w:rPr>
      </w:pPr>
    </w:p>
    <w:p w:rsidR="005613BF" w:rsidRPr="005613BF" w:rsidRDefault="005613BF" w:rsidP="005613BF">
      <w:pPr>
        <w:ind w:firstLine="851"/>
        <w:jc w:val="center"/>
        <w:rPr>
          <w:b/>
        </w:rPr>
      </w:pPr>
      <w:r w:rsidRPr="005613BF">
        <w:rPr>
          <w:b/>
        </w:rPr>
        <w:t>ПОЛОЖЕНИЕ О ТЕРРИТОРИАЛЬНОМ ПЛАНИРОВАНИИ</w:t>
      </w:r>
    </w:p>
    <w:p w:rsidR="005613BF" w:rsidRDefault="005613BF" w:rsidP="005613BF">
      <w:pPr>
        <w:ind w:firstLine="851"/>
        <w:jc w:val="both"/>
      </w:pPr>
    </w:p>
    <w:p w:rsidR="005613BF" w:rsidRPr="005613BF" w:rsidRDefault="005613BF" w:rsidP="005613BF">
      <w:pPr>
        <w:pStyle w:val="1"/>
        <w:rPr>
          <w:rFonts w:ascii="Times New Roman" w:hAnsi="Times New Roman" w:cs="Times New Roman"/>
        </w:rPr>
      </w:pPr>
      <w:r w:rsidRPr="005613BF">
        <w:rPr>
          <w:rFonts w:ascii="Times New Roman" w:hAnsi="Times New Roman" w:cs="Times New Roman"/>
        </w:rPr>
        <w:t>1.</w:t>
      </w:r>
      <w:r w:rsidRPr="005613BF">
        <w:rPr>
          <w:rFonts w:ascii="Times New Roman" w:hAnsi="Times New Roman" w:cs="Times New Roman"/>
        </w:rPr>
        <w:tab/>
        <w:t>Общие положения</w:t>
      </w:r>
    </w:p>
    <w:p w:rsidR="005613BF" w:rsidRDefault="005613BF" w:rsidP="005613BF">
      <w:pPr>
        <w:ind w:firstLine="851"/>
        <w:jc w:val="both"/>
      </w:pPr>
      <w:r>
        <w:t>Схема территориального планирования субъекта Российской Федерации является одним из документов территориального планирования, которые согласно Градостроительному кодексу Российской Федерации направлены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613BF" w:rsidRDefault="005613BF" w:rsidP="005613BF">
      <w:pPr>
        <w:ind w:firstLine="851"/>
        <w:jc w:val="both"/>
      </w:pPr>
      <w:r>
        <w:t>Территориальное планирование в Российской Федерации осуществляется на разных уровнях: федеральном, региональном (уровень субъекта), муниципальном, с обязательным соблюдением последовательной преемственности мероприятий на всех иерархических уровнях этой системы.</w:t>
      </w:r>
    </w:p>
    <w:p w:rsidR="005613BF" w:rsidRDefault="005613BF" w:rsidP="005613BF">
      <w:pPr>
        <w:ind w:firstLine="851"/>
        <w:jc w:val="both"/>
      </w:pPr>
      <w:r>
        <w:t xml:space="preserve">Кроме этого, схема территориального планирования выступает одновременно и документом стратегического планирования, разрабатываемом в рамках стратегического планирования и прогнозирования согласно Федеральному закону от 28 июня 2014 г. № 172-ФЗ «О стратегическом планировании в Российской Федерации». </w:t>
      </w:r>
    </w:p>
    <w:p w:rsidR="005613BF" w:rsidRDefault="005613BF" w:rsidP="005613BF">
      <w:pPr>
        <w:ind w:firstLine="851"/>
        <w:jc w:val="both"/>
      </w:pPr>
      <w:r>
        <w:t>Фактически схема территориального планирования субъекта Российской Федерации выступает связующим звеном принятия управленческих решений, обеспечивая целостность стратегической и территориальной политики страны.</w:t>
      </w:r>
    </w:p>
    <w:p w:rsidR="005613BF" w:rsidRDefault="005613BF" w:rsidP="005613BF">
      <w:pPr>
        <w:ind w:firstLine="851"/>
        <w:jc w:val="both"/>
      </w:pPr>
      <w:r>
        <w:lastRenderedPageBreak/>
        <w:t xml:space="preserve">В соответствии с Законом Калужской области от 04 октября 2004 года  №344-ОЗ «О градостроительной деятельности в Калужской области» к объектам регионального значения относятся: </w:t>
      </w:r>
    </w:p>
    <w:p w:rsidR="005613BF" w:rsidRDefault="005613BF" w:rsidP="005613BF">
      <w:pPr>
        <w:ind w:firstLine="851"/>
        <w:jc w:val="both"/>
      </w:pPr>
      <w:r>
        <w:t>1) объекты капитального строительства, находящиеся в собственности Калужской области, и объекты капитального строительства, создание которых планируется за счет средств областного бюджета, включающие:</w:t>
      </w:r>
    </w:p>
    <w:p w:rsidR="005613BF" w:rsidRDefault="005613BF" w:rsidP="005613BF">
      <w:pPr>
        <w:ind w:firstLine="851"/>
        <w:jc w:val="both"/>
      </w:pPr>
      <w:r>
        <w:t>объекты транспорта (железнодорожные вокзалы, автовокзалы, речные порты, аэропорты) и автомобильные дороги регионального или межмуниципального значения;</w:t>
      </w:r>
    </w:p>
    <w:p w:rsidR="005613BF" w:rsidRDefault="005613BF" w:rsidP="005613BF">
      <w:pPr>
        <w:ind w:firstLine="851"/>
        <w:jc w:val="both"/>
      </w:pPr>
      <w:r>
        <w:t>объекты для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5613BF" w:rsidRDefault="005613BF" w:rsidP="005613BF">
      <w:pPr>
        <w:ind w:firstLine="851"/>
        <w:jc w:val="both"/>
      </w:pPr>
      <w:r>
        <w:t>объекты систем газоснабжения (газопроводы для транспортировки природного газа под давлением от 0,6 МПа, газораспределительные станции, газораспределительные пункты), теплоснабжения, водоснабжения, электроснабжения (линии электропередачи, проектный номинальный класс напряжения которых составляет от 35 кВт, электрические подстанции, распределительные пункты);</w:t>
      </w:r>
    </w:p>
    <w:p w:rsidR="005613BF" w:rsidRDefault="005613BF" w:rsidP="005613BF">
      <w:pPr>
        <w:ind w:firstLine="851"/>
        <w:jc w:val="both"/>
      </w:pPr>
      <w:r>
        <w:t>объекты образовательных организаций;</w:t>
      </w:r>
    </w:p>
    <w:p w:rsidR="005613BF" w:rsidRDefault="005613BF" w:rsidP="005613BF">
      <w:pPr>
        <w:ind w:firstLine="851"/>
        <w:jc w:val="both"/>
      </w:pPr>
      <w:r>
        <w:t>специализированные медицинские учреждения (кожно-венерологические, противотуберкулезные, наркологические, онкологические диспансеры и иные объекты, предусмотренные законодательством);</w:t>
      </w:r>
    </w:p>
    <w:p w:rsidR="005613BF" w:rsidRDefault="005613BF" w:rsidP="005613BF">
      <w:pPr>
        <w:ind w:firstLine="851"/>
        <w:jc w:val="both"/>
      </w:pPr>
      <w:r>
        <w:t>объекты физической культуры и спорта (стадионы, дворцы спорта, горнолыжные комплексы и иные объекты, предусмотренные законодательством);</w:t>
      </w:r>
    </w:p>
    <w:p w:rsidR="005613BF" w:rsidRDefault="005613BF" w:rsidP="005613BF">
      <w:pPr>
        <w:ind w:firstLine="851"/>
        <w:jc w:val="both"/>
      </w:pPr>
      <w:r>
        <w:t>объекты учреждений культуры;</w:t>
      </w:r>
    </w:p>
    <w:p w:rsidR="005613BF" w:rsidRDefault="005613BF" w:rsidP="005613BF">
      <w:pPr>
        <w:ind w:firstLine="851"/>
        <w:jc w:val="both"/>
      </w:pPr>
      <w:r>
        <w:t>2) объекты капитального строительства, построенные (планируемые к строительству) на территории двух и более муниципальных районов, на территории (территориях) муниципального района (муниципальных районов) и городского округа (городских округов);</w:t>
      </w:r>
    </w:p>
    <w:p w:rsidR="005613BF" w:rsidRDefault="005613BF" w:rsidP="005613BF">
      <w:pPr>
        <w:ind w:firstLine="851"/>
        <w:jc w:val="both"/>
      </w:pPr>
      <w:r>
        <w:t>3) объекты капитального строительства, построенные (планируемые к строительству) в рамках реализации инвестиционного проекта, включенного в реестр инвестиционных проектов в соответствии с Законом Калужской области «О государственной поддержке субъектов инвестиционной деятельности в Калужской области»;</w:t>
      </w:r>
    </w:p>
    <w:p w:rsidR="005613BF" w:rsidRDefault="005613BF" w:rsidP="005613BF">
      <w:pPr>
        <w:ind w:firstLine="851"/>
        <w:jc w:val="both"/>
      </w:pPr>
      <w:r>
        <w:t>4) территории индустриальных парков, технопарков, инвестиционных площадок и иных территорий, на которых реализуются (планируются к реализации) инвестиционные проекты;</w:t>
      </w:r>
    </w:p>
    <w:p w:rsidR="005613BF" w:rsidRDefault="005613BF" w:rsidP="005613BF">
      <w:pPr>
        <w:ind w:firstLine="851"/>
        <w:jc w:val="both"/>
      </w:pPr>
      <w:r>
        <w:t>5) особые экономические зоны;</w:t>
      </w:r>
    </w:p>
    <w:p w:rsidR="005613BF" w:rsidRDefault="005613BF" w:rsidP="005613BF">
      <w:pPr>
        <w:ind w:firstLine="851"/>
        <w:jc w:val="both"/>
      </w:pPr>
      <w:r>
        <w:t>6) особо охраняемые природные территории регионального значения;</w:t>
      </w:r>
    </w:p>
    <w:p w:rsidR="005613BF" w:rsidRDefault="005613BF" w:rsidP="005613BF">
      <w:pPr>
        <w:ind w:firstLine="851"/>
        <w:jc w:val="both"/>
      </w:pPr>
      <w:r>
        <w:t>7) объекты культурного наследия, музеи-заповедники, находящиеся в собственности Калужской области;</w:t>
      </w:r>
    </w:p>
    <w:p w:rsidR="0097187A" w:rsidRDefault="005613BF" w:rsidP="005613BF">
      <w:pPr>
        <w:ind w:firstLine="851"/>
        <w:jc w:val="both"/>
      </w:pPr>
      <w:r>
        <w:t>8) иные объекты, которые необходимы для осуществления полномочий по вопросам, отнесенным к ведению Калужской области и органов государственной власти Калужской области федеральным законодательством и нормативными правовыми актами Калужской области, и оказывают существенное влияние на социально-экономическое развитие Калужской области.</w:t>
      </w:r>
    </w:p>
    <w:p w:rsidR="00A655C7" w:rsidRDefault="00A655C7" w:rsidP="005613BF">
      <w:pPr>
        <w:ind w:firstLine="851"/>
        <w:jc w:val="both"/>
      </w:pPr>
    </w:p>
    <w:p w:rsidR="00A655C7" w:rsidRDefault="00A655C7" w:rsidP="005613BF">
      <w:pPr>
        <w:ind w:firstLine="851"/>
        <w:jc w:val="both"/>
        <w:sectPr w:rsidR="00A655C7" w:rsidSect="0097187A">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418" w:header="709" w:footer="709" w:gutter="0"/>
          <w:cols w:space="708"/>
          <w:docGrid w:linePitch="381"/>
        </w:sectPr>
      </w:pPr>
      <w:bookmarkStart w:id="0" w:name="_GoBack"/>
      <w:bookmarkEnd w:id="0"/>
    </w:p>
    <w:p w:rsidR="00E62CEF" w:rsidRPr="00E62CEF" w:rsidRDefault="00E62CEF" w:rsidP="00075B15">
      <w:pPr>
        <w:spacing w:before="120" w:line="276" w:lineRule="auto"/>
        <w:jc w:val="center"/>
        <w:rPr>
          <w:szCs w:val="28"/>
        </w:rPr>
      </w:pPr>
      <w:r w:rsidRPr="00E62CEF">
        <w:rPr>
          <w:rFonts w:eastAsia="Times New Roman" w:cs="Times New Roman"/>
          <w:b/>
          <w:szCs w:val="28"/>
          <w:lang w:val="en-US" w:eastAsia="ru-RU"/>
        </w:rPr>
        <w:t>C</w:t>
      </w:r>
      <w:r w:rsidRPr="00E62CEF">
        <w:rPr>
          <w:rFonts w:eastAsia="Times New Roman" w:cs="Times New Roman"/>
          <w:b/>
          <w:szCs w:val="28"/>
          <w:lang w:eastAsia="ru-RU"/>
        </w:rPr>
        <w:t xml:space="preserve">ведения о планируемых </w:t>
      </w:r>
      <w:r>
        <w:rPr>
          <w:rFonts w:eastAsia="Times New Roman" w:cs="Times New Roman"/>
          <w:b/>
          <w:szCs w:val="28"/>
          <w:lang w:eastAsia="ru-RU"/>
        </w:rPr>
        <w:t xml:space="preserve">объектах </w:t>
      </w:r>
      <w:r w:rsidRPr="00E62CEF">
        <w:rPr>
          <w:rFonts w:eastAsia="Times New Roman" w:cs="Times New Roman"/>
          <w:b/>
          <w:szCs w:val="28"/>
          <w:lang w:eastAsia="ru-RU"/>
        </w:rPr>
        <w:t>регионального значения</w:t>
      </w:r>
      <w:r>
        <w:rPr>
          <w:rFonts w:eastAsia="Times New Roman" w:cs="Times New Roman"/>
          <w:b/>
          <w:szCs w:val="28"/>
          <w:lang w:eastAsia="ru-RU"/>
        </w:rPr>
        <w:t xml:space="preserve"> в области обращения с отходами </w:t>
      </w:r>
    </w:p>
    <w:p w:rsidR="00E62CEF" w:rsidRDefault="00E62CEF"/>
    <w:tbl>
      <w:tblPr>
        <w:tblW w:w="14791" w:type="dxa"/>
        <w:jc w:val="center"/>
        <w:tblInd w:w="93" w:type="dxa"/>
        <w:tblLook w:val="04A0" w:firstRow="1" w:lastRow="0" w:firstColumn="1" w:lastColumn="0" w:noHBand="0" w:noVBand="1"/>
      </w:tblPr>
      <w:tblGrid>
        <w:gridCol w:w="685"/>
        <w:gridCol w:w="2307"/>
        <w:gridCol w:w="2977"/>
        <w:gridCol w:w="1886"/>
        <w:gridCol w:w="2480"/>
        <w:gridCol w:w="1454"/>
        <w:gridCol w:w="1606"/>
        <w:gridCol w:w="1396"/>
      </w:tblGrid>
      <w:tr w:rsidR="009E5B83" w:rsidRPr="006247EC" w:rsidTr="00075B15">
        <w:trPr>
          <w:cantSplit/>
          <w:trHeight w:val="280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Назначение объекта размещения отходов</w:t>
            </w:r>
          </w:p>
        </w:tc>
        <w:tc>
          <w:tcPr>
            <w:tcW w:w="2977" w:type="dxa"/>
            <w:tcBorders>
              <w:top w:val="single" w:sz="4" w:space="0" w:color="auto"/>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Наименование</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Характеристики</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Местоположение</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Срок реализации:</w:t>
            </w:r>
            <w:r w:rsidRPr="006247EC">
              <w:rPr>
                <w:rFonts w:eastAsia="Times New Roman" w:cs="Times New Roman"/>
                <w:b/>
                <w:bCs/>
                <w:color w:val="000000"/>
                <w:sz w:val="20"/>
                <w:szCs w:val="20"/>
                <w:lang w:eastAsia="ru-RU"/>
              </w:rPr>
              <w:br/>
              <w:t>Первая очередь (2021-2031);</w:t>
            </w:r>
            <w:r w:rsidRPr="006247EC">
              <w:rPr>
                <w:rFonts w:eastAsia="Times New Roman" w:cs="Times New Roman"/>
                <w:b/>
                <w:bCs/>
                <w:color w:val="000000"/>
                <w:sz w:val="20"/>
                <w:szCs w:val="20"/>
                <w:lang w:eastAsia="ru-RU"/>
              </w:rPr>
              <w:br/>
              <w:t>Расчетный срок (2032-2041)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 xml:space="preserve">Статус объекта: </w:t>
            </w:r>
            <w:r w:rsidRPr="006247EC">
              <w:rPr>
                <w:rFonts w:eastAsia="Times New Roman" w:cs="Times New Roman"/>
                <w:b/>
                <w:bCs/>
                <w:color w:val="000000"/>
                <w:sz w:val="20"/>
                <w:szCs w:val="20"/>
                <w:lang w:eastAsia="ru-RU"/>
              </w:rPr>
              <w:br/>
              <w:t>П – планируемый к размещению,</w:t>
            </w:r>
            <w:r w:rsidRPr="006247EC">
              <w:rPr>
                <w:rFonts w:eastAsia="Times New Roman" w:cs="Times New Roman"/>
                <w:b/>
                <w:bCs/>
                <w:color w:val="000000"/>
                <w:sz w:val="20"/>
                <w:szCs w:val="20"/>
                <w:lang w:eastAsia="ru-RU"/>
              </w:rPr>
              <w:br/>
              <w:t>Р – планируемый к реконструкции</w:t>
            </w:r>
            <w:r w:rsidRPr="006247EC">
              <w:rPr>
                <w:rFonts w:eastAsia="Times New Roman" w:cs="Times New Roman"/>
                <w:b/>
                <w:bCs/>
                <w:color w:val="000000"/>
                <w:sz w:val="20"/>
                <w:szCs w:val="20"/>
                <w:lang w:eastAsia="ru-RU"/>
              </w:rPr>
              <w:br/>
              <w:t>Л – планируемый к ликвидации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ЗОУИТ</w:t>
            </w:r>
          </w:p>
        </w:tc>
      </w:tr>
      <w:tr w:rsidR="006247EC" w:rsidRPr="006247EC" w:rsidTr="00075B15">
        <w:trPr>
          <w:cantSplit/>
          <w:trHeight w:val="25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 </w:t>
            </w:r>
          </w:p>
        </w:tc>
        <w:tc>
          <w:tcPr>
            <w:tcW w:w="14106" w:type="dxa"/>
            <w:gridSpan w:val="7"/>
            <w:tcBorders>
              <w:top w:val="single" w:sz="4" w:space="0" w:color="auto"/>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Бабынинский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Завершение эксплуатации, подготовка к рекультивации полигона ООО «Внешние сети»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н/д.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Бабынинский район, МО ГП «Поселок Воротынск», 54.459175, 36.017391</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(2022)</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Подготовка к рекультивации полигона</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н/д.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Бабынинский район, МО СП «Поселок Бабынино», вблизи п. Бабынино</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(2021-2024)</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Барятинский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3</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Ввод в эксплуатацию мусороперегрузочной станции</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до 4,5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Барятинский район,  МО СП «Село Барятино», с. Барятино</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(2022-2023)</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Жиздринский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4</w:t>
            </w:r>
          </w:p>
        </w:tc>
        <w:tc>
          <w:tcPr>
            <w:tcW w:w="2307" w:type="dxa"/>
            <w:tcBorders>
              <w:top w:val="nil"/>
              <w:left w:val="nil"/>
              <w:bottom w:val="single" w:sz="4" w:space="0" w:color="auto"/>
              <w:right w:val="nil"/>
            </w:tcBorders>
            <w:shd w:val="clear" w:color="auto" w:fill="auto"/>
            <w:vAlign w:val="center"/>
            <w:hideMark/>
          </w:tcPr>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p w:rsidR="006247EC" w:rsidRPr="006247EC" w:rsidRDefault="006247EC" w:rsidP="006247EC">
            <w:pPr>
              <w:spacing w:line="240" w:lineRule="auto"/>
              <w:jc w:val="center"/>
              <w:rPr>
                <w:rFonts w:eastAsia="Times New Roman" w:cs="Times New Roman"/>
                <w:color w:val="000000"/>
                <w:sz w:val="20"/>
                <w:szCs w:val="20"/>
                <w:lang w:eastAsia="ru-RU"/>
              </w:rPr>
            </w:pP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Ввод в эксплуатацию МПС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9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Жиздринский район, МО ГП «Город Жиздра», 53.766167, 34.738556*</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Городской округ «Город Калуга»</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5</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Объект утилизации ООО "КЗПАТ" (производство RDF-топлива)</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Проектная мощность 124 тыс. тонн в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ГО «Город Калуга», г. Калуга ул. Городенская, зд. 27 а</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(2022-2024)</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Р</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Износковский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6</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Завершение эксплуатации, подготовка к рекультивации полигона ООО «ПрофЗемРесурс» (Опытно-экспериментальная площадка по приему, обработке ТКО и размещению неутилизируемых фракций)</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н/д.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Износковский район, МО СП «Деревня Михали», 55.17632, 35.54561</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(2024-2025)</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53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7</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ЭкоТехноПарк "Калуга" (участок компостирования и участко производства RDF-топлива)</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Утилизация (RDF- топливо) – 320 тыс. тонн в год;</w:t>
            </w:r>
            <w:r w:rsidRPr="006247EC">
              <w:rPr>
                <w:rFonts w:eastAsia="Times New Roman" w:cs="Times New Roman"/>
                <w:color w:val="000000"/>
                <w:sz w:val="20"/>
                <w:szCs w:val="20"/>
                <w:lang w:eastAsia="ru-RU"/>
              </w:rPr>
              <w:br/>
              <w:t>Утилизация (Компостирование) – 517 тыс. тонн в год</w:t>
            </w:r>
          </w:p>
        </w:tc>
        <w:tc>
          <w:tcPr>
            <w:tcW w:w="2480" w:type="dxa"/>
            <w:tcBorders>
              <w:top w:val="nil"/>
              <w:left w:val="nil"/>
              <w:bottom w:val="single" w:sz="4" w:space="0" w:color="auto"/>
              <w:right w:val="single" w:sz="4" w:space="0" w:color="auto"/>
            </w:tcBorders>
            <w:shd w:val="clear" w:color="auto" w:fill="auto"/>
            <w:vAlign w:val="center"/>
            <w:hideMark/>
          </w:tcPr>
          <w:p w:rsidR="009E5B83"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Износковский район, МО СП «Деревня Михали», д. Раево</w:t>
            </w:r>
          </w:p>
          <w:p w:rsidR="006247EC" w:rsidRPr="006247EC"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55.176509 35.553594</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(2028)</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Р</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Кировский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8</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Реконструкция объекта Сортировка ООО «Реммонтаж»</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Увеличение мощности до 65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Кировский район, МО СП «Село Бережки», 54.099601, 34.369828</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(2022)</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Р</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9</w:t>
            </w:r>
          </w:p>
        </w:tc>
        <w:tc>
          <w:tcPr>
            <w:tcW w:w="2307" w:type="dxa"/>
            <w:tcBorders>
              <w:top w:val="nil"/>
              <w:left w:val="nil"/>
              <w:bottom w:val="single" w:sz="4" w:space="0" w:color="auto"/>
              <w:right w:val="nil"/>
            </w:tcBorders>
            <w:shd w:val="clear" w:color="auto" w:fill="auto"/>
            <w:vAlign w:val="center"/>
            <w:hideMark/>
          </w:tcPr>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p w:rsidR="009E5B83" w:rsidRPr="006247EC" w:rsidRDefault="009E5B83" w:rsidP="009E5B83">
            <w:pPr>
              <w:spacing w:line="240" w:lineRule="auto"/>
              <w:rPr>
                <w:rFonts w:eastAsia="Times New Roman" w:cs="Times New Roman"/>
                <w:color w:val="000000"/>
                <w:sz w:val="20"/>
                <w:szCs w:val="20"/>
                <w:lang w:eastAsia="ru-RU"/>
              </w:rPr>
            </w:pP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Реконструкция объекта Полигон ООО «Реммонтаж»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Увеличение вместимости на 600 тыс. тонн</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Кировский район, МО СП «Село Бережки», 54.099601, 34.369828</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(2023)</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78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10</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B83" w:rsidRDefault="009E5B83" w:rsidP="006247EC">
            <w:pPr>
              <w:spacing w:line="240" w:lineRule="auto"/>
              <w:jc w:val="center"/>
              <w:rPr>
                <w:rFonts w:eastAsia="Times New Roman" w:cs="Times New Roman"/>
                <w:color w:val="000000"/>
                <w:sz w:val="20"/>
                <w:szCs w:val="20"/>
                <w:lang w:eastAsia="ru-RU"/>
              </w:rPr>
            </w:pPr>
          </w:p>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p w:rsidR="009E5B83" w:rsidRPr="006247EC" w:rsidRDefault="009E5B83" w:rsidP="009E5B83">
            <w:pPr>
              <w:spacing w:line="240" w:lineRule="auto"/>
              <w:rPr>
                <w:rFonts w:eastAsia="Times New Roman" w:cs="Times New Roman"/>
                <w:color w:val="000000"/>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ООО </w:t>
            </w:r>
            <w:r>
              <w:rPr>
                <w:rFonts w:eastAsia="Times New Roman" w:cs="Times New Roman"/>
                <w:color w:val="000000"/>
                <w:sz w:val="20"/>
                <w:szCs w:val="20"/>
                <w:lang w:eastAsia="ru-RU"/>
              </w:rPr>
              <w:t>«</w:t>
            </w:r>
            <w:r w:rsidRPr="006247EC">
              <w:rPr>
                <w:rFonts w:eastAsia="Times New Roman" w:cs="Times New Roman"/>
                <w:color w:val="000000"/>
                <w:sz w:val="20"/>
                <w:szCs w:val="20"/>
                <w:lang w:eastAsia="ru-RU"/>
              </w:rPr>
              <w:t>Реммонтаж</w:t>
            </w:r>
            <w:r>
              <w:rPr>
                <w:rFonts w:eastAsia="Times New Roman" w:cs="Times New Roman"/>
                <w:color w:val="000000"/>
                <w:sz w:val="20"/>
                <w:szCs w:val="20"/>
                <w:lang w:eastAsia="ru-RU"/>
              </w:rPr>
              <w:t>»</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Проектная мощность захоронения 13 тыс. тонн в год; </w:t>
            </w:r>
          </w:p>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Проектная мощность обработки 36 тыс. тонн в год.</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Кировский район, МО СП «Село Бережки», д. Зимнички, примерно 1 км от ориентира по направлению на северо-восток;</w:t>
            </w:r>
          </w:p>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54.099601 34.369828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530"/>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11</w:t>
            </w:r>
          </w:p>
        </w:tc>
        <w:tc>
          <w:tcPr>
            <w:tcW w:w="2307" w:type="dxa"/>
            <w:tcBorders>
              <w:top w:val="single" w:sz="4" w:space="0" w:color="auto"/>
              <w:left w:val="nil"/>
              <w:bottom w:val="single" w:sz="4" w:space="0" w:color="auto"/>
              <w:right w:val="nil"/>
            </w:tcBorders>
            <w:shd w:val="clear" w:color="auto" w:fill="auto"/>
            <w:vAlign w:val="center"/>
            <w:hideMark/>
          </w:tcPr>
          <w:p w:rsidR="009E5B83" w:rsidRDefault="009E5B83" w:rsidP="006247EC">
            <w:pPr>
              <w:spacing w:line="240" w:lineRule="auto"/>
              <w:jc w:val="center"/>
              <w:rPr>
                <w:rFonts w:eastAsia="Times New Roman" w:cs="Times New Roman"/>
                <w:color w:val="000000"/>
                <w:sz w:val="20"/>
                <w:szCs w:val="20"/>
                <w:lang w:eastAsia="ru-RU"/>
              </w:rPr>
            </w:pPr>
          </w:p>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p w:rsidR="009E5B83" w:rsidRPr="006247EC" w:rsidRDefault="009E5B83" w:rsidP="006247EC">
            <w:pPr>
              <w:spacing w:line="240" w:lineRule="auto"/>
              <w:jc w:val="center"/>
              <w:rPr>
                <w:rFonts w:eastAsia="Times New Roman" w:cs="Times New Roman"/>
                <w:color w:val="000000"/>
                <w:sz w:val="20"/>
                <w:szCs w:val="20"/>
                <w:lang w:eastAsia="ru-RU"/>
              </w:rPr>
            </w:pPr>
          </w:p>
        </w:tc>
        <w:tc>
          <w:tcPr>
            <w:tcW w:w="2977" w:type="dxa"/>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Мусороперегрузочная площадка Кировский район</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до 40 тыс. тонн в год</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Кировский район, МО СП «Село Бережки», д. Зимнички, примерно 1 км от ориентира по направлению на северо-восток; 54.098184 34.367656</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(2026)</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Козельский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12</w:t>
            </w:r>
          </w:p>
        </w:tc>
        <w:tc>
          <w:tcPr>
            <w:tcW w:w="2307" w:type="dxa"/>
            <w:tcBorders>
              <w:top w:val="nil"/>
              <w:left w:val="nil"/>
              <w:bottom w:val="single" w:sz="4" w:space="0" w:color="auto"/>
              <w:right w:val="nil"/>
            </w:tcBorders>
            <w:shd w:val="clear" w:color="auto" w:fill="auto"/>
            <w:vAlign w:val="center"/>
            <w:hideMark/>
          </w:tcPr>
          <w:p w:rsidR="009E5B83" w:rsidRDefault="009E5B83" w:rsidP="006247EC">
            <w:pPr>
              <w:spacing w:line="240" w:lineRule="auto"/>
              <w:jc w:val="center"/>
              <w:rPr>
                <w:rFonts w:eastAsia="Times New Roman" w:cs="Times New Roman"/>
                <w:color w:val="000000"/>
                <w:sz w:val="20"/>
                <w:szCs w:val="20"/>
                <w:lang w:eastAsia="ru-RU"/>
              </w:rPr>
            </w:pPr>
          </w:p>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p w:rsidR="009E5B83" w:rsidRPr="006247EC" w:rsidRDefault="009E5B83" w:rsidP="006247EC">
            <w:pPr>
              <w:spacing w:line="240" w:lineRule="auto"/>
              <w:jc w:val="center"/>
              <w:rPr>
                <w:rFonts w:eastAsia="Times New Roman" w:cs="Times New Roman"/>
                <w:color w:val="000000"/>
                <w:sz w:val="20"/>
                <w:szCs w:val="20"/>
                <w:lang w:eastAsia="ru-RU"/>
              </w:rPr>
            </w:pP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Завершение эксплуатации, подготовка к рекультивации полигона ГП «КРЭО»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н/д. </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Козельский район, МО ГП «Город Сосенский», г. Сосенский, 54.067022, 36.001639</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(2023)</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Куйбышевский район</w:t>
            </w:r>
          </w:p>
        </w:tc>
      </w:tr>
      <w:tr w:rsidR="009E5B83" w:rsidRPr="006247EC" w:rsidTr="00075B15">
        <w:trPr>
          <w:cantSplit/>
          <w:trHeight w:val="280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13</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Комплексный объект по обработке, утилизации и размещению твердых коммунальных отходов в Куйбышевском районе, Калужской области</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9E5B83" w:rsidRDefault="009E5B83" w:rsidP="006247EC">
            <w:pPr>
              <w:spacing w:line="240" w:lineRule="auto"/>
              <w:jc w:val="center"/>
              <w:rPr>
                <w:rFonts w:eastAsia="Times New Roman" w:cs="Times New Roman"/>
                <w:color w:val="000000"/>
                <w:sz w:val="20"/>
                <w:szCs w:val="20"/>
                <w:lang w:eastAsia="ru-RU"/>
              </w:rPr>
            </w:pPr>
          </w:p>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Обработка (сортировка) – 150 тыс. тонн в год;</w:t>
            </w:r>
          </w:p>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Утилизация (RDF- топливо) – 25,5 тыс. тонн в год;</w:t>
            </w:r>
          </w:p>
          <w:p w:rsidR="009E5B83"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Утилизация (Компостирование) – 45 тыс. тонн в год;</w:t>
            </w:r>
          </w:p>
          <w:p w:rsidR="006247EC"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Размещение – 150 тыс. тонн в год</w:t>
            </w:r>
          </w:p>
          <w:p w:rsidR="009E5B83" w:rsidRPr="006247EC" w:rsidRDefault="009E5B83" w:rsidP="009E5B83">
            <w:pPr>
              <w:spacing w:line="240" w:lineRule="auto"/>
              <w:jc w:val="center"/>
              <w:rPr>
                <w:rFonts w:eastAsia="Times New Roman" w:cs="Times New Roman"/>
                <w:color w:val="000000"/>
                <w:sz w:val="20"/>
                <w:szCs w:val="20"/>
                <w:lang w:eastAsia="ru-RU"/>
              </w:rPr>
            </w:pPr>
          </w:p>
        </w:tc>
        <w:tc>
          <w:tcPr>
            <w:tcW w:w="2480" w:type="dxa"/>
            <w:tcBorders>
              <w:top w:val="nil"/>
              <w:left w:val="nil"/>
              <w:bottom w:val="single" w:sz="4" w:space="0" w:color="auto"/>
              <w:right w:val="single" w:sz="4" w:space="0" w:color="auto"/>
            </w:tcBorders>
            <w:shd w:val="clear" w:color="auto" w:fill="auto"/>
            <w:vAlign w:val="center"/>
            <w:hideMark/>
          </w:tcPr>
          <w:p w:rsidR="009E5B83"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Куйбышевский район, МО СП «Село Жерелево», земли бывшего ТОО «Кузьминичское» Кадастровый номер земельного участка: 40:11:073700:8;</w:t>
            </w:r>
          </w:p>
          <w:p w:rsidR="006247EC" w:rsidRPr="006247EC"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54.215662 33.641847</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(2025-2028)</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Людиновский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14</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Ввод в эксплуатацию МПС</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25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Людиновский район, МО СП «Деревня Манино», 53.921334, 34.394863*</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Малоярославецкий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15</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Ввод в эксплуатацию полигона</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270 тыс. тонн/ год; Вместимость: 1000 тыс. тонн</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Малоярославецкий район, МО СП «Село Ильинское», 54.927329, 36.084688</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16</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Ввод в эксплуатацию МСК</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45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Малоярославецкий район, МО СП «Село Ильинское», 54.927329, 36.084688</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17</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Реконструкция полигона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Увеличение вместимости на 1500 тыс. тонн</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Малоярославецкий район, МО СП «Село Ильинское», 54.927329, 36.084689</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(2025)</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Р</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18</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Строительство полигона ТКО и мусороперерабатывающего завода</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Объем поступающих отходов 260 тыс. тонн/год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Малоярославецкий район, МО СП «Деревня Рябцево», вблизи д. Станки</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19</w:t>
            </w:r>
          </w:p>
        </w:tc>
        <w:tc>
          <w:tcPr>
            <w:tcW w:w="2307" w:type="dxa"/>
            <w:tcBorders>
              <w:top w:val="nil"/>
              <w:left w:val="nil"/>
              <w:bottom w:val="single" w:sz="4" w:space="0" w:color="auto"/>
              <w:right w:val="nil"/>
            </w:tcBorders>
            <w:shd w:val="clear" w:color="auto" w:fill="auto"/>
            <w:vAlign w:val="center"/>
            <w:hideMark/>
          </w:tcPr>
          <w:p w:rsidR="009E5B83" w:rsidRDefault="009E5B83" w:rsidP="006247EC">
            <w:pPr>
              <w:spacing w:line="240" w:lineRule="auto"/>
              <w:jc w:val="center"/>
              <w:rPr>
                <w:rFonts w:eastAsia="Times New Roman" w:cs="Times New Roman"/>
                <w:color w:val="000000"/>
                <w:sz w:val="20"/>
                <w:szCs w:val="20"/>
                <w:lang w:eastAsia="ru-RU"/>
              </w:rPr>
            </w:pPr>
          </w:p>
          <w:p w:rsid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p w:rsidR="009E5B83" w:rsidRPr="006247EC" w:rsidRDefault="009E5B83" w:rsidP="006247EC">
            <w:pPr>
              <w:spacing w:line="240" w:lineRule="auto"/>
              <w:jc w:val="center"/>
              <w:rPr>
                <w:rFonts w:eastAsia="Times New Roman" w:cs="Times New Roman"/>
                <w:color w:val="000000"/>
                <w:sz w:val="20"/>
                <w:szCs w:val="20"/>
                <w:lang w:eastAsia="ru-RU"/>
              </w:rPr>
            </w:pP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Объект обработки и утилизации твердых коммунальных отходов в Малоярославецком районе</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Обработка (сортировка) – 40 тыс. тонн в год;</w:t>
            </w:r>
            <w:r w:rsidRPr="006247EC">
              <w:rPr>
                <w:rFonts w:eastAsia="Times New Roman" w:cs="Times New Roman"/>
                <w:color w:val="000000"/>
                <w:sz w:val="20"/>
                <w:szCs w:val="20"/>
                <w:lang w:eastAsia="ru-RU"/>
              </w:rPr>
              <w:br/>
              <w:t>Утилизация – 20 тыс. тонн в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Малоярославецкий район, МО СП «Деревня Рябцево», 54.930929 36.106234</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(2028)</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Медынский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20</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Ввод в эксплуатацию Мусороперегрузочной площадки</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6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Медынский район, МО ГП «Город Медынь», 54.991656, 35.868683*</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27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21</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Рекультивация объекта размещения отходов вблизи г. Медынь</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Медынский район, МО ГП «Город Медынь»,  земельный участок с кадастровым номером 40:14:120202:178</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(2023)</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Мещовский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22</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Рекультивация объекта размещения отходов вблизи г. Мещовск</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Мещовский район, МО ГП «Город Мещовск», 54.325477; 35.303693</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(2025)</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Мосальский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23</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Ввод в эксплуатацию Мусороперегрузочной площадки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4,5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Мосальский район, МО СП «Деревня Гачки», 54.510673, 34.966305*</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Спас-Деменский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24</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Завершение эксплуатации, подготовка к рекультивации полигона МУП «Благоустройство»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Проектная мощность обработки 36 тыс. тонн в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Спас-Деменский район, МО ГП «Город Спас-Деменск», г. Спас-Деменск</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(2024)</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25</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Ввод в эксплуатацию Мусороперегрузочной площадки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4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Спас-Деменский район, МО СП «Деревня Теплово», 54.437887, 34.020977*</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(2024)</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27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26</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Полигон ТКО МУП "Благоустройство"</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до 2 тыс. тонн в год</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Спас-Деменский район, МО СП «Деревня Теплово»</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Сухиничский район</w:t>
            </w:r>
          </w:p>
        </w:tc>
      </w:tr>
      <w:tr w:rsidR="009E5B83" w:rsidRPr="006247EC" w:rsidTr="00075B15">
        <w:trPr>
          <w:cantSplit/>
          <w:trHeight w:val="127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27</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Реконструкция объекта Полигон ООО «Форум»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Увеличение вместимости на 320 тыс. тонн</w:t>
            </w:r>
          </w:p>
        </w:tc>
        <w:tc>
          <w:tcPr>
            <w:tcW w:w="2480" w:type="dxa"/>
            <w:tcBorders>
              <w:top w:val="nil"/>
              <w:left w:val="nil"/>
              <w:bottom w:val="single" w:sz="4" w:space="0" w:color="auto"/>
              <w:right w:val="single" w:sz="4" w:space="0" w:color="auto"/>
            </w:tcBorders>
            <w:shd w:val="clear" w:color="auto" w:fill="auto"/>
            <w:vAlign w:val="center"/>
            <w:hideMark/>
          </w:tcPr>
          <w:p w:rsidR="009E5B83"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Сухиничский район, МО СП «Село Брынь», 54.086914, 35.355747;</w:t>
            </w:r>
          </w:p>
          <w:p w:rsidR="009E5B83"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40:19:120601:51;</w:t>
            </w:r>
          </w:p>
          <w:p w:rsidR="006247EC" w:rsidRPr="006247EC"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40:19:120601:55</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(2022)</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Р</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27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28</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ООО «Форум»</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Обработка (сортировка) – 40 тыс. тонн в год;</w:t>
            </w:r>
            <w:r w:rsidRPr="006247EC">
              <w:rPr>
                <w:rFonts w:eastAsia="Times New Roman" w:cs="Times New Roman"/>
                <w:color w:val="000000"/>
                <w:sz w:val="20"/>
                <w:szCs w:val="20"/>
                <w:lang w:eastAsia="ru-RU"/>
              </w:rPr>
              <w:br/>
              <w:t>Размещение – 40 тыс. тонн в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Сухиничский район, МО ГП «Город Сухиничи», г. Сухиничи, в районе окружной дороги</w:t>
            </w:r>
            <w:r w:rsidRPr="006247EC">
              <w:rPr>
                <w:rFonts w:eastAsia="Times New Roman" w:cs="Times New Roman"/>
                <w:color w:val="000000"/>
                <w:sz w:val="20"/>
                <w:szCs w:val="20"/>
                <w:lang w:eastAsia="ru-RU"/>
              </w:rPr>
              <w:br/>
              <w:t>54.086914 35.355747</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(2026)</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9E5B83" w:rsidRPr="006247EC" w:rsidTr="00075B15">
        <w:trPr>
          <w:cantSplit/>
          <w:trHeight w:val="153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29</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Мусороперегрузочная площадка Сухиничский район</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до 40 тыс. тонн в год</w:t>
            </w:r>
          </w:p>
        </w:tc>
        <w:tc>
          <w:tcPr>
            <w:tcW w:w="2480" w:type="dxa"/>
            <w:tcBorders>
              <w:top w:val="nil"/>
              <w:left w:val="nil"/>
              <w:bottom w:val="single" w:sz="4" w:space="0" w:color="auto"/>
              <w:right w:val="single" w:sz="4" w:space="0" w:color="auto"/>
            </w:tcBorders>
            <w:shd w:val="clear" w:color="auto" w:fill="auto"/>
            <w:vAlign w:val="center"/>
            <w:hideMark/>
          </w:tcPr>
          <w:p w:rsidR="009E5B83"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Сухиничский район, МО ГП «Город Сухиничи», г. Сухиничи, в районе окружной дороги</w:t>
            </w:r>
          </w:p>
          <w:p w:rsidR="006247EC" w:rsidRPr="006247EC" w:rsidRDefault="006247EC" w:rsidP="009E5B83">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54.087973 35.357566</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(2026)</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Тарусский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30</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Ввод в эксплуатацию МПС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19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Тарусский район, МО СП «Деревня Алекино», 54.70896, 37.12484*</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Ульяновский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31</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Ввод в эксплуатацию Мусороперегрузочной площадки</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Мощность: 3 тыс. тонн/ год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Ульяновский район, МО СП «Село Заречье», 53.732297, 35.64487*</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(2021-2024)</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Ферзиковский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32</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 xml:space="preserve">Завершение эксплуатации, подготовка к рекультивации полигона МП «СЕЗ» МР "Ферзиковский район"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н/д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Ферзиковский район, МО СП «Село Ферзиково», д. Козловка, 54.505286, 36.787728</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(2022)</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Хвастовичский район</w:t>
            </w:r>
          </w:p>
        </w:tc>
      </w:tr>
      <w:tr w:rsidR="009E5B83" w:rsidRPr="006247EC" w:rsidTr="00075B15">
        <w:trPr>
          <w:cantSplit/>
          <w:trHeight w:val="102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33</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Завершение эксплуатации, подготовка к рекультивации Полигона МУП «Хвастовичское КХ»</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н/д</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Хвастовичский район, МО СП «Село Красное», 53.486059, 35.128924</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(2021)</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r w:rsidR="006247EC" w:rsidRPr="006247EC" w:rsidTr="00075B15">
        <w:trPr>
          <w:cantSplit/>
          <w:trHeight w:val="300"/>
          <w:jc w:val="center"/>
        </w:trPr>
        <w:tc>
          <w:tcPr>
            <w:tcW w:w="14791" w:type="dxa"/>
            <w:gridSpan w:val="8"/>
            <w:tcBorders>
              <w:top w:val="single" w:sz="4" w:space="0" w:color="auto"/>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b/>
                <w:bCs/>
                <w:color w:val="000000"/>
                <w:sz w:val="20"/>
                <w:szCs w:val="20"/>
                <w:lang w:eastAsia="ru-RU"/>
              </w:rPr>
            </w:pPr>
            <w:r w:rsidRPr="006247EC">
              <w:rPr>
                <w:rFonts w:eastAsia="Times New Roman" w:cs="Times New Roman"/>
                <w:b/>
                <w:bCs/>
                <w:color w:val="000000"/>
                <w:sz w:val="20"/>
                <w:szCs w:val="20"/>
                <w:lang w:eastAsia="ru-RU"/>
              </w:rPr>
              <w:t>Юхновский район</w:t>
            </w:r>
          </w:p>
        </w:tc>
      </w:tr>
      <w:tr w:rsidR="009E5B83" w:rsidRPr="006247EC" w:rsidTr="00075B15">
        <w:trPr>
          <w:cantSplit/>
          <w:trHeight w:val="1275"/>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34</w:t>
            </w:r>
          </w:p>
        </w:tc>
        <w:tc>
          <w:tcPr>
            <w:tcW w:w="2307" w:type="dxa"/>
            <w:tcBorders>
              <w:top w:val="nil"/>
              <w:left w:val="nil"/>
              <w:bottom w:val="single" w:sz="4" w:space="0" w:color="auto"/>
              <w:right w:val="nil"/>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Сбор, обработка, утилизация, обезвреживание и размещение отходов с целью дальнейшей переработки вторсырья</w:t>
            </w:r>
          </w:p>
        </w:tc>
        <w:tc>
          <w:tcPr>
            <w:tcW w:w="2977" w:type="dxa"/>
            <w:tcBorders>
              <w:top w:val="nil"/>
              <w:left w:val="single" w:sz="4" w:space="0" w:color="auto"/>
              <w:bottom w:val="single" w:sz="4" w:space="0" w:color="auto"/>
              <w:right w:val="nil"/>
            </w:tcBorders>
            <w:shd w:val="clear" w:color="auto" w:fill="auto"/>
            <w:vAlign w:val="center"/>
            <w:hideMark/>
          </w:tcPr>
          <w:p w:rsidR="006247EC" w:rsidRPr="006247EC" w:rsidRDefault="006247EC" w:rsidP="006247EC">
            <w:pPr>
              <w:spacing w:line="240" w:lineRule="auto"/>
              <w:rPr>
                <w:rFonts w:eastAsia="Times New Roman" w:cs="Times New Roman"/>
                <w:color w:val="000000"/>
                <w:sz w:val="20"/>
                <w:szCs w:val="20"/>
                <w:lang w:eastAsia="ru-RU"/>
              </w:rPr>
            </w:pPr>
            <w:r w:rsidRPr="006247EC">
              <w:rPr>
                <w:rFonts w:eastAsia="Times New Roman" w:cs="Times New Roman"/>
                <w:color w:val="000000"/>
                <w:sz w:val="20"/>
                <w:szCs w:val="20"/>
                <w:lang w:eastAsia="ru-RU"/>
              </w:rPr>
              <w:t>Мусороперегрузочная площадка Юхновский район</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w:t>
            </w:r>
          </w:p>
        </w:tc>
        <w:tc>
          <w:tcPr>
            <w:tcW w:w="2480"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Юхновский район, МО СП «Деревня Колыхманово»,  д. Колыхманово</w:t>
            </w:r>
            <w:r w:rsidRPr="006247EC">
              <w:rPr>
                <w:rFonts w:eastAsia="Times New Roman" w:cs="Times New Roman"/>
                <w:color w:val="000000"/>
                <w:sz w:val="20"/>
                <w:szCs w:val="20"/>
                <w:lang w:eastAsia="ru-RU"/>
              </w:rPr>
              <w:br/>
              <w:t>54.739659, 35.264805</w:t>
            </w:r>
          </w:p>
        </w:tc>
        <w:tc>
          <w:tcPr>
            <w:tcW w:w="1454"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Первая очередь (2026)</w:t>
            </w:r>
          </w:p>
        </w:tc>
        <w:tc>
          <w:tcPr>
            <w:tcW w:w="160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Л</w:t>
            </w:r>
          </w:p>
        </w:tc>
        <w:tc>
          <w:tcPr>
            <w:tcW w:w="1396" w:type="dxa"/>
            <w:tcBorders>
              <w:top w:val="nil"/>
              <w:left w:val="nil"/>
              <w:bottom w:val="single" w:sz="4" w:space="0" w:color="auto"/>
              <w:right w:val="single" w:sz="4" w:space="0" w:color="auto"/>
            </w:tcBorders>
            <w:shd w:val="clear" w:color="auto" w:fill="auto"/>
            <w:vAlign w:val="center"/>
            <w:hideMark/>
          </w:tcPr>
          <w:p w:rsidR="006247EC" w:rsidRPr="006247EC" w:rsidRDefault="006247EC" w:rsidP="006247EC">
            <w:pPr>
              <w:spacing w:line="240" w:lineRule="auto"/>
              <w:jc w:val="center"/>
              <w:rPr>
                <w:rFonts w:eastAsia="Times New Roman" w:cs="Times New Roman"/>
                <w:color w:val="000000"/>
                <w:sz w:val="20"/>
                <w:szCs w:val="20"/>
                <w:lang w:eastAsia="ru-RU"/>
              </w:rPr>
            </w:pPr>
            <w:r w:rsidRPr="006247EC">
              <w:rPr>
                <w:rFonts w:eastAsia="Times New Roman" w:cs="Times New Roman"/>
                <w:color w:val="000000"/>
                <w:sz w:val="20"/>
                <w:szCs w:val="20"/>
                <w:lang w:eastAsia="ru-RU"/>
              </w:rPr>
              <w:t>Определяется проектом</w:t>
            </w:r>
          </w:p>
        </w:tc>
      </w:tr>
    </w:tbl>
    <w:p w:rsidR="004B58D7" w:rsidRDefault="00075B15" w:rsidP="005613BF">
      <w:pPr>
        <w:ind w:firstLine="851"/>
        <w:jc w:val="both"/>
      </w:pPr>
    </w:p>
    <w:p w:rsidR="00205629" w:rsidRDefault="00205629" w:rsidP="005613BF">
      <w:pPr>
        <w:ind w:firstLine="851"/>
        <w:jc w:val="both"/>
      </w:pPr>
    </w:p>
    <w:p w:rsidR="00205629" w:rsidRDefault="00205629" w:rsidP="005613BF">
      <w:pPr>
        <w:ind w:firstLine="851"/>
        <w:jc w:val="both"/>
      </w:pPr>
    </w:p>
    <w:p w:rsidR="00205629" w:rsidRDefault="00205629" w:rsidP="005613BF">
      <w:pPr>
        <w:ind w:firstLine="851"/>
        <w:jc w:val="both"/>
      </w:pPr>
    </w:p>
    <w:p w:rsidR="00205629" w:rsidRDefault="00205629" w:rsidP="005613BF">
      <w:pPr>
        <w:ind w:firstLine="851"/>
        <w:jc w:val="both"/>
      </w:pPr>
    </w:p>
    <w:p w:rsidR="00205629" w:rsidRDefault="00205629" w:rsidP="005613BF">
      <w:pPr>
        <w:ind w:firstLine="851"/>
        <w:jc w:val="both"/>
      </w:pPr>
    </w:p>
    <w:sectPr w:rsidR="00205629" w:rsidSect="0097187A">
      <w:pgSz w:w="16838" w:h="11906" w:orient="landscape" w:code="9"/>
      <w:pgMar w:top="851" w:right="1134"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55" w:rsidRDefault="00356855" w:rsidP="00DC60C7">
      <w:pPr>
        <w:spacing w:line="240" w:lineRule="auto"/>
      </w:pPr>
      <w:r>
        <w:separator/>
      </w:r>
    </w:p>
  </w:endnote>
  <w:endnote w:type="continuationSeparator" w:id="0">
    <w:p w:rsidR="00356855" w:rsidRDefault="00356855" w:rsidP="00DC6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55" w:rsidRDefault="00356855" w:rsidP="00DC60C7">
      <w:pPr>
        <w:spacing w:line="240" w:lineRule="auto"/>
      </w:pPr>
      <w:r>
        <w:separator/>
      </w:r>
    </w:p>
  </w:footnote>
  <w:footnote w:type="continuationSeparator" w:id="0">
    <w:p w:rsidR="00356855" w:rsidRDefault="00356855" w:rsidP="00DC6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73204"/>
      <w:docPartObj>
        <w:docPartGallery w:val="Page Numbers (Top of Page)"/>
        <w:docPartUnique/>
      </w:docPartObj>
    </w:sdtPr>
    <w:sdtEndPr/>
    <w:sdtContent>
      <w:p w:rsidR="00DC60C7" w:rsidRDefault="00DC60C7">
        <w:pPr>
          <w:pStyle w:val="a3"/>
          <w:jc w:val="center"/>
        </w:pPr>
        <w:r>
          <w:fldChar w:fldCharType="begin"/>
        </w:r>
        <w:r>
          <w:instrText>PAGE   \* MERGEFORMAT</w:instrText>
        </w:r>
        <w:r>
          <w:fldChar w:fldCharType="separate"/>
        </w:r>
        <w:r w:rsidR="00075B15">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C7" w:rsidRDefault="00A655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42"/>
    <w:rsid w:val="00015403"/>
    <w:rsid w:val="00075B15"/>
    <w:rsid w:val="00086DA3"/>
    <w:rsid w:val="00195FB9"/>
    <w:rsid w:val="00205629"/>
    <w:rsid w:val="0031730E"/>
    <w:rsid w:val="0033275A"/>
    <w:rsid w:val="00356855"/>
    <w:rsid w:val="00532D0D"/>
    <w:rsid w:val="005613BF"/>
    <w:rsid w:val="006247EC"/>
    <w:rsid w:val="006A0B19"/>
    <w:rsid w:val="006A1570"/>
    <w:rsid w:val="0082685D"/>
    <w:rsid w:val="0097187A"/>
    <w:rsid w:val="009E5B83"/>
    <w:rsid w:val="00A655C7"/>
    <w:rsid w:val="00A86A35"/>
    <w:rsid w:val="00B01A7E"/>
    <w:rsid w:val="00BC6D42"/>
    <w:rsid w:val="00C057C8"/>
    <w:rsid w:val="00C21AD4"/>
    <w:rsid w:val="00D06A26"/>
    <w:rsid w:val="00D348D5"/>
    <w:rsid w:val="00DC60C7"/>
    <w:rsid w:val="00E6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5D"/>
    <w:pPr>
      <w:spacing w:after="0" w:line="360" w:lineRule="auto"/>
    </w:pPr>
    <w:rPr>
      <w:rFonts w:ascii="Times New Roman" w:hAnsi="Times New Roman"/>
      <w:sz w:val="28"/>
    </w:rPr>
  </w:style>
  <w:style w:type="paragraph" w:styleId="1">
    <w:name w:val="heading 1"/>
    <w:basedOn w:val="a"/>
    <w:next w:val="a"/>
    <w:link w:val="10"/>
    <w:uiPriority w:val="9"/>
    <w:qFormat/>
    <w:rsid w:val="00D348D5"/>
    <w:pPr>
      <w:keepNext/>
      <w:widowControl w:val="0"/>
      <w:autoSpaceDE w:val="0"/>
      <w:autoSpaceDN w:val="0"/>
      <w:adjustRightInd w:val="0"/>
      <w:spacing w:before="240" w:after="60"/>
      <w:ind w:firstLine="709"/>
      <w:jc w:val="both"/>
      <w:outlineLvl w:val="0"/>
    </w:pPr>
    <w:rPr>
      <w:rFonts w:asciiTheme="minorHAnsi" w:hAnsiTheme="minorHAnsi"/>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48D5"/>
    <w:rPr>
      <w:b/>
      <w:bCs/>
      <w:kern w:val="32"/>
      <w:sz w:val="28"/>
      <w:szCs w:val="32"/>
      <w:lang w:val="x-none" w:eastAsia="x-none"/>
    </w:rPr>
  </w:style>
  <w:style w:type="paragraph" w:styleId="a3">
    <w:name w:val="header"/>
    <w:basedOn w:val="a"/>
    <w:link w:val="a4"/>
    <w:uiPriority w:val="99"/>
    <w:unhideWhenUsed/>
    <w:rsid w:val="00DC60C7"/>
    <w:pPr>
      <w:tabs>
        <w:tab w:val="center" w:pos="4677"/>
        <w:tab w:val="right" w:pos="9355"/>
      </w:tabs>
      <w:spacing w:line="240" w:lineRule="auto"/>
    </w:pPr>
  </w:style>
  <w:style w:type="character" w:customStyle="1" w:styleId="a4">
    <w:name w:val="Верхний колонтитул Знак"/>
    <w:basedOn w:val="a0"/>
    <w:link w:val="a3"/>
    <w:uiPriority w:val="99"/>
    <w:rsid w:val="00DC60C7"/>
    <w:rPr>
      <w:rFonts w:ascii="Times New Roman" w:hAnsi="Times New Roman"/>
      <w:sz w:val="28"/>
    </w:rPr>
  </w:style>
  <w:style w:type="paragraph" w:styleId="a5">
    <w:name w:val="footer"/>
    <w:basedOn w:val="a"/>
    <w:link w:val="a6"/>
    <w:uiPriority w:val="99"/>
    <w:unhideWhenUsed/>
    <w:rsid w:val="00DC60C7"/>
    <w:pPr>
      <w:tabs>
        <w:tab w:val="center" w:pos="4677"/>
        <w:tab w:val="right" w:pos="9355"/>
      </w:tabs>
      <w:spacing w:line="240" w:lineRule="auto"/>
    </w:pPr>
  </w:style>
  <w:style w:type="character" w:customStyle="1" w:styleId="a6">
    <w:name w:val="Нижний колонтитул Знак"/>
    <w:basedOn w:val="a0"/>
    <w:link w:val="a5"/>
    <w:uiPriority w:val="99"/>
    <w:rsid w:val="00DC60C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5D"/>
    <w:pPr>
      <w:spacing w:after="0" w:line="360" w:lineRule="auto"/>
    </w:pPr>
    <w:rPr>
      <w:rFonts w:ascii="Times New Roman" w:hAnsi="Times New Roman"/>
      <w:sz w:val="28"/>
    </w:rPr>
  </w:style>
  <w:style w:type="paragraph" w:styleId="1">
    <w:name w:val="heading 1"/>
    <w:basedOn w:val="a"/>
    <w:next w:val="a"/>
    <w:link w:val="10"/>
    <w:uiPriority w:val="9"/>
    <w:qFormat/>
    <w:rsid w:val="00D348D5"/>
    <w:pPr>
      <w:keepNext/>
      <w:widowControl w:val="0"/>
      <w:autoSpaceDE w:val="0"/>
      <w:autoSpaceDN w:val="0"/>
      <w:adjustRightInd w:val="0"/>
      <w:spacing w:before="240" w:after="60"/>
      <w:ind w:firstLine="709"/>
      <w:jc w:val="both"/>
      <w:outlineLvl w:val="0"/>
    </w:pPr>
    <w:rPr>
      <w:rFonts w:asciiTheme="minorHAnsi" w:hAnsiTheme="minorHAnsi"/>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348D5"/>
    <w:rPr>
      <w:b/>
      <w:bCs/>
      <w:kern w:val="32"/>
      <w:sz w:val="28"/>
      <w:szCs w:val="32"/>
      <w:lang w:val="x-none" w:eastAsia="x-none"/>
    </w:rPr>
  </w:style>
  <w:style w:type="paragraph" w:styleId="a3">
    <w:name w:val="header"/>
    <w:basedOn w:val="a"/>
    <w:link w:val="a4"/>
    <w:uiPriority w:val="99"/>
    <w:unhideWhenUsed/>
    <w:rsid w:val="00DC60C7"/>
    <w:pPr>
      <w:tabs>
        <w:tab w:val="center" w:pos="4677"/>
        <w:tab w:val="right" w:pos="9355"/>
      </w:tabs>
      <w:spacing w:line="240" w:lineRule="auto"/>
    </w:pPr>
  </w:style>
  <w:style w:type="character" w:customStyle="1" w:styleId="a4">
    <w:name w:val="Верхний колонтитул Знак"/>
    <w:basedOn w:val="a0"/>
    <w:link w:val="a3"/>
    <w:uiPriority w:val="99"/>
    <w:rsid w:val="00DC60C7"/>
    <w:rPr>
      <w:rFonts w:ascii="Times New Roman" w:hAnsi="Times New Roman"/>
      <w:sz w:val="28"/>
    </w:rPr>
  </w:style>
  <w:style w:type="paragraph" w:styleId="a5">
    <w:name w:val="footer"/>
    <w:basedOn w:val="a"/>
    <w:link w:val="a6"/>
    <w:uiPriority w:val="99"/>
    <w:unhideWhenUsed/>
    <w:rsid w:val="00DC60C7"/>
    <w:pPr>
      <w:tabs>
        <w:tab w:val="center" w:pos="4677"/>
        <w:tab w:val="right" w:pos="9355"/>
      </w:tabs>
      <w:spacing w:line="240" w:lineRule="auto"/>
    </w:pPr>
  </w:style>
  <w:style w:type="character" w:customStyle="1" w:styleId="a6">
    <w:name w:val="Нижний колонтитул Знак"/>
    <w:basedOn w:val="a0"/>
    <w:link w:val="a5"/>
    <w:uiPriority w:val="99"/>
    <w:rsid w:val="00DC60C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0656">
      <w:bodyDiv w:val="1"/>
      <w:marLeft w:val="0"/>
      <w:marRight w:val="0"/>
      <w:marTop w:val="0"/>
      <w:marBottom w:val="0"/>
      <w:divBdr>
        <w:top w:val="none" w:sz="0" w:space="0" w:color="auto"/>
        <w:left w:val="none" w:sz="0" w:space="0" w:color="auto"/>
        <w:bottom w:val="none" w:sz="0" w:space="0" w:color="auto"/>
        <w:right w:val="none" w:sz="0" w:space="0" w:color="auto"/>
      </w:divBdr>
    </w:div>
    <w:div w:id="929853741">
      <w:bodyDiv w:val="1"/>
      <w:marLeft w:val="0"/>
      <w:marRight w:val="0"/>
      <w:marTop w:val="0"/>
      <w:marBottom w:val="0"/>
      <w:divBdr>
        <w:top w:val="none" w:sz="0" w:space="0" w:color="auto"/>
        <w:left w:val="none" w:sz="0" w:space="0" w:color="auto"/>
        <w:bottom w:val="none" w:sz="0" w:space="0" w:color="auto"/>
        <w:right w:val="none" w:sz="0" w:space="0" w:color="auto"/>
      </w:divBdr>
    </w:div>
    <w:div w:id="9792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2380</Words>
  <Characters>13569</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Общие положения</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Алёна Александровна</dc:creator>
  <cp:keywords/>
  <dc:description/>
  <cp:lastModifiedBy>Горбунова Алёна Александровна</cp:lastModifiedBy>
  <cp:revision>6</cp:revision>
  <dcterms:created xsi:type="dcterms:W3CDTF">2023-06-14T13:50:00Z</dcterms:created>
  <dcterms:modified xsi:type="dcterms:W3CDTF">2023-06-16T09:53:00Z</dcterms:modified>
</cp:coreProperties>
</file>